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781DE" w14:textId="77777777" w:rsidR="00A23093" w:rsidRPr="00D8265B" w:rsidRDefault="00A23093" w:rsidP="00A23093">
      <w:pPr>
        <w:pStyle w:val="Heading1"/>
        <w:rPr>
          <w:rFonts w:ascii="Source Sans Pro" w:hAnsi="Source Sans Pro"/>
          <w:b/>
          <w:bCs/>
          <w:color w:val="auto"/>
        </w:rPr>
      </w:pPr>
      <w:r w:rsidRPr="00D8265B">
        <w:rPr>
          <w:rFonts w:ascii="Source Sans Pro" w:hAnsi="Source Sans Pro"/>
          <w:b/>
          <w:bCs/>
          <w:color w:val="auto"/>
        </w:rPr>
        <w:t>Disability Statistics</w:t>
      </w:r>
    </w:p>
    <w:p w14:paraId="33EDCED5" w14:textId="5651066F" w:rsidR="00A23093" w:rsidRPr="00A64024" w:rsidRDefault="00A23093" w:rsidP="00A64024">
      <w:pPr>
        <w:rPr>
          <w:rFonts w:ascii="Source Sans Pro" w:hAnsi="Source Sans Pro"/>
          <w:sz w:val="28"/>
          <w:szCs w:val="28"/>
        </w:rPr>
      </w:pPr>
      <w:r w:rsidRPr="00A64024">
        <w:rPr>
          <w:rFonts w:ascii="Source Sans Pro" w:hAnsi="Source Sans Pro"/>
          <w:sz w:val="28"/>
          <w:szCs w:val="28"/>
        </w:rPr>
        <w:t>Accessible text version of the Disability Statistics infographic</w:t>
      </w:r>
      <w:r w:rsidR="006877B2" w:rsidRPr="00A64024">
        <w:rPr>
          <w:rFonts w:ascii="Source Sans Pro" w:hAnsi="Source Sans Pro"/>
          <w:sz w:val="28"/>
          <w:szCs w:val="28"/>
        </w:rPr>
        <w:t xml:space="preserve"> by Deborah Lawson.</w:t>
      </w:r>
    </w:p>
    <w:p w14:paraId="25AEC42F" w14:textId="77777777" w:rsidR="00A23093" w:rsidRPr="006B7D54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6B7D54">
        <w:rPr>
          <w:rFonts w:ascii="Source Sans Pro" w:hAnsi="Source Sans Pro"/>
          <w:b/>
          <w:bCs/>
          <w:color w:val="auto"/>
        </w:rPr>
        <w:t>Disability in the UK</w:t>
      </w:r>
    </w:p>
    <w:p w14:paraId="3CA91431" w14:textId="77777777" w:rsidR="00A23093" w:rsidRP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16.7 million people in the UK are disabled. In the UK, 12% of children, 23% of working-age adults and 45% of pension-age adults are disabled.</w:t>
      </w:r>
    </w:p>
    <w:p w14:paraId="3D7882D4" w14:textId="77777777" w:rsidR="00A23093" w:rsidRPr="006B7D54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6B7D54">
        <w:rPr>
          <w:rFonts w:ascii="Source Sans Pro" w:hAnsi="Source Sans Pro"/>
          <w:b/>
          <w:bCs/>
          <w:color w:val="auto"/>
        </w:rPr>
        <w:t>Disability and poverty</w:t>
      </w:r>
    </w:p>
    <w:p w14:paraId="533FCF7D" w14:textId="77777777" w:rsidR="00A23093" w:rsidRP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Nearly half of people living in poverty are disabled or live in a family with a disabled person.</w:t>
      </w:r>
    </w:p>
    <w:p w14:paraId="5207CB65" w14:textId="77777777" w:rsidR="00A23093" w:rsidRPr="006B7D54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6B7D54">
        <w:rPr>
          <w:rFonts w:ascii="Source Sans Pro" w:hAnsi="Source Sans Pro"/>
          <w:b/>
          <w:bCs/>
          <w:color w:val="auto"/>
        </w:rPr>
        <w:t>Life expectancy and learning disabilities</w:t>
      </w:r>
    </w:p>
    <w:p w14:paraId="1012CB7E" w14:textId="77777777" w:rsidR="00A23093" w:rsidRP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Adults with learning disabilities die, on average, 19 years younger than the general population. Around 39% of deaths are classified as avoidable.</w:t>
      </w:r>
    </w:p>
    <w:p w14:paraId="3C156688" w14:textId="77777777" w:rsidR="00A23093" w:rsidRPr="006B7D54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6B7D54">
        <w:rPr>
          <w:rFonts w:ascii="Source Sans Pro" w:hAnsi="Source Sans Pro"/>
          <w:b/>
          <w:bCs/>
          <w:color w:val="auto"/>
        </w:rPr>
        <w:t>Additional living costs</w:t>
      </w:r>
    </w:p>
    <w:p w14:paraId="1C0B4D5E" w14:textId="77777777" w:rsidR="00A23093" w:rsidRP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Disabled households face extra costs averaging £1,095 a month.</w:t>
      </w:r>
    </w:p>
    <w:p w14:paraId="78A3E071" w14:textId="77777777" w:rsidR="00A23093" w:rsidRPr="006B7D54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6B7D54">
        <w:rPr>
          <w:rFonts w:ascii="Source Sans Pro" w:hAnsi="Source Sans Pro"/>
          <w:b/>
          <w:bCs/>
          <w:color w:val="auto"/>
        </w:rPr>
        <w:t>Wheelchair-user housing</w:t>
      </w:r>
    </w:p>
    <w:p w14:paraId="41E65253" w14:textId="77777777" w:rsidR="00A23093" w:rsidRP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Only 4% of new homes planned in England over the next decade are expected to meet wheelchair-user housing standards.</w:t>
      </w:r>
    </w:p>
    <w:p w14:paraId="2BF1B96D" w14:textId="77777777" w:rsidR="00A23093" w:rsidRPr="00A112EE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A112EE">
        <w:rPr>
          <w:rFonts w:ascii="Source Sans Pro" w:hAnsi="Source Sans Pro"/>
          <w:b/>
          <w:bCs/>
          <w:color w:val="auto"/>
        </w:rPr>
        <w:t>Disaster mortality</w:t>
      </w:r>
    </w:p>
    <w:p w14:paraId="7363682E" w14:textId="77777777" w:rsidR="00A23093" w:rsidRP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During some natural disasters, disabled people have experienced mortality rates two to four times higher than non-disabled people.</w:t>
      </w:r>
    </w:p>
    <w:p w14:paraId="47A0A7E5" w14:textId="77777777" w:rsidR="00A23093" w:rsidRPr="00A112EE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A112EE">
        <w:rPr>
          <w:rFonts w:ascii="Source Sans Pro" w:hAnsi="Source Sans Pro"/>
          <w:b/>
          <w:bCs/>
          <w:color w:val="auto"/>
        </w:rPr>
        <w:t>Employment barriers</w:t>
      </w:r>
    </w:p>
    <w:p w14:paraId="7955C757" w14:textId="77777777" w:rsidR="00A23093" w:rsidRP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43% of disabled adults who looked for work in the last 10 years believe their disability affected their chances of getting a job.</w:t>
      </w:r>
    </w:p>
    <w:p w14:paraId="6ACD5BEC" w14:textId="77777777" w:rsidR="00A23093" w:rsidRPr="00A112EE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A112EE">
        <w:rPr>
          <w:rFonts w:ascii="Source Sans Pro" w:hAnsi="Source Sans Pro"/>
          <w:b/>
          <w:bCs/>
          <w:color w:val="auto"/>
        </w:rPr>
        <w:lastRenderedPageBreak/>
        <w:t>Energy bills</w:t>
      </w:r>
    </w:p>
    <w:p w14:paraId="634C6EBC" w14:textId="77777777" w:rsidR="00A23093" w:rsidRP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Disabled households face energy bills averaging 25% higher than non-disabled households.</w:t>
      </w:r>
    </w:p>
    <w:p w14:paraId="064101D6" w14:textId="77777777" w:rsidR="00A23093" w:rsidRPr="006A06A0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6A06A0">
        <w:rPr>
          <w:rFonts w:ascii="Source Sans Pro" w:hAnsi="Source Sans Pro"/>
          <w:b/>
          <w:bCs/>
          <w:color w:val="auto"/>
        </w:rPr>
        <w:t>Negative attitudes</w:t>
      </w:r>
    </w:p>
    <w:p w14:paraId="06F01290" w14:textId="77777777" w:rsidR="00A23093" w:rsidRP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3 out of 4 disabled people have experienced negative attitudes or behaviour in the last 5 years.</w:t>
      </w:r>
    </w:p>
    <w:p w14:paraId="4304CB0B" w14:textId="77777777" w:rsidR="00A23093" w:rsidRPr="006A06A0" w:rsidRDefault="00A23093" w:rsidP="00A23093">
      <w:pPr>
        <w:pStyle w:val="Heading2"/>
        <w:rPr>
          <w:rFonts w:ascii="Source Sans Pro" w:hAnsi="Source Sans Pro"/>
          <w:b/>
          <w:bCs/>
          <w:color w:val="auto"/>
        </w:rPr>
      </w:pPr>
      <w:r w:rsidRPr="006A06A0">
        <w:rPr>
          <w:rFonts w:ascii="Source Sans Pro" w:hAnsi="Source Sans Pro"/>
          <w:b/>
          <w:bCs/>
          <w:color w:val="auto"/>
        </w:rPr>
        <w:t>Food bank referrals</w:t>
      </w:r>
    </w:p>
    <w:p w14:paraId="29EE4FB2" w14:textId="77777777" w:rsidR="00A23093" w:rsidRDefault="00A23093" w:rsidP="00A23093">
      <w:pPr>
        <w:rPr>
          <w:rFonts w:ascii="Source Sans Pro" w:hAnsi="Source Sans Pro"/>
          <w:sz w:val="28"/>
          <w:szCs w:val="28"/>
        </w:rPr>
      </w:pPr>
      <w:r w:rsidRPr="00A23093">
        <w:rPr>
          <w:rFonts w:ascii="Source Sans Pro" w:hAnsi="Source Sans Pro"/>
          <w:sz w:val="28"/>
          <w:szCs w:val="28"/>
        </w:rPr>
        <w:t>Almost 3 in 4 (74%) people referred to Trussell food banks in 2024 were disabled.</w:t>
      </w:r>
    </w:p>
    <w:p w14:paraId="384AE331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46AF1515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3D2E285A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50B205A6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16AE928C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153E0A55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2A244956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1BAEFEC1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17B358ED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50A1602D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6CF1D420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4F7CFF90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047E0049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00EF2A90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32E145D0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3F944B81" w14:textId="77777777" w:rsidR="00C6493B" w:rsidRDefault="00C6493B" w:rsidP="00A23093">
      <w:pPr>
        <w:rPr>
          <w:rFonts w:ascii="Source Sans Pro" w:hAnsi="Source Sans Pro"/>
          <w:sz w:val="28"/>
          <w:szCs w:val="28"/>
        </w:rPr>
      </w:pPr>
    </w:p>
    <w:p w14:paraId="6E0C1F9A" w14:textId="77777777" w:rsidR="00C6493B" w:rsidRPr="00A23093" w:rsidRDefault="00C6493B" w:rsidP="00A23093">
      <w:pPr>
        <w:rPr>
          <w:rFonts w:ascii="Source Sans Pro" w:hAnsi="Source Sans Pro"/>
          <w:sz w:val="28"/>
          <w:szCs w:val="28"/>
        </w:rPr>
      </w:pPr>
    </w:p>
    <w:p w14:paraId="36742C51" w14:textId="14788B0C" w:rsidR="00A23093" w:rsidRPr="009075AC" w:rsidRDefault="00A23093" w:rsidP="00A23093">
      <w:pPr>
        <w:pStyle w:val="Heading1"/>
        <w:rPr>
          <w:rFonts w:ascii="Source Sans Pro" w:hAnsi="Source Sans Pro"/>
          <w:b/>
          <w:bCs/>
          <w:color w:val="auto"/>
          <w:sz w:val="32"/>
          <w:szCs w:val="32"/>
        </w:rPr>
      </w:pPr>
      <w:r w:rsidRPr="009075AC">
        <w:rPr>
          <w:rFonts w:ascii="Source Sans Pro" w:hAnsi="Source Sans Pro"/>
          <w:b/>
          <w:bCs/>
          <w:color w:val="auto"/>
          <w:sz w:val="32"/>
          <w:szCs w:val="32"/>
        </w:rPr>
        <w:lastRenderedPageBreak/>
        <w:t>Sources</w:t>
      </w:r>
      <w:r w:rsidR="00D2131C">
        <w:rPr>
          <w:rFonts w:ascii="Source Sans Pro" w:hAnsi="Source Sans Pro"/>
          <w:b/>
          <w:bCs/>
          <w:color w:val="auto"/>
          <w:sz w:val="32"/>
          <w:szCs w:val="32"/>
        </w:rPr>
        <w:t xml:space="preserve"> and further reading</w:t>
      </w:r>
    </w:p>
    <w:p w14:paraId="7E3D431A" w14:textId="6C4FEA03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1. Department for Work and Pensions (2026)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6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Family Resources Survey: financial year 2024 to 2025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0F443AED" w14:textId="6342FDBA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2. Habinteg Housing Association (2026)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7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Building new accessible homes is a clear winner over home adaptations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479560F3" w14:textId="583E1CD8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3. House of Commons Library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8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Poverty in the UK: statistics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48B535B9" w14:textId="794618E6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4. House of Commons Public Accounts Committee (2025)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9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Energy Bills Support report (PDF)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6ADAE62D" w14:textId="6C3B5A41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5. Joseph Rowntree Foundation (2025)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10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Where will cuts to sickness and disability benefits fall hardest?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6ABD42BB" w14:textId="2599F0EB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6. King's College London (2026)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11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Fewer people with a learning disability dying from avoidable causes, but still almost twice as high as the general population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79B5FFD5" w14:textId="14CC5C61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7. Scope (2025)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12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Disability Price Tag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562490E7" w14:textId="240BC121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8. Scope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13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Work Without Barriers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53D7D7F1" w14:textId="6E879607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9. Social Metrics Commission (2024)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14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Measuring Poverty 2024 (PDF)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1A841337" w14:textId="054D6AE7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10. Trussell (2025)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15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Hunger in the UK 2025</w:t>
        </w:r>
      </w:hyperlink>
      <w:r w:rsidRPr="00D2131C">
        <w:rPr>
          <w:rFonts w:ascii="Source Sans Pro" w:hAnsi="Source Sans Pro"/>
          <w:sz w:val="28"/>
          <w:szCs w:val="28"/>
          <w:lang w:val="en-GB"/>
        </w:rPr>
        <w:t>.</w:t>
      </w:r>
    </w:p>
    <w:p w14:paraId="57E1F694" w14:textId="3BE50639" w:rsidR="00D2131C" w:rsidRPr="00D2131C" w:rsidRDefault="00D2131C" w:rsidP="00D2131C">
      <w:pPr>
        <w:rPr>
          <w:rFonts w:ascii="Source Sans Pro" w:hAnsi="Source Sans Pro"/>
          <w:sz w:val="28"/>
          <w:szCs w:val="28"/>
          <w:lang w:val="en-GB"/>
        </w:rPr>
      </w:pPr>
      <w:r w:rsidRPr="00D2131C">
        <w:rPr>
          <w:rFonts w:ascii="Source Sans Pro" w:hAnsi="Source Sans Pro"/>
          <w:sz w:val="28"/>
          <w:szCs w:val="28"/>
          <w:lang w:val="en-GB"/>
        </w:rPr>
        <w:t>11. United Nations Office for Disaster Risk Reduction (2023)</w:t>
      </w:r>
      <w:r>
        <w:rPr>
          <w:rFonts w:ascii="Source Sans Pro" w:hAnsi="Source Sans Pro"/>
          <w:sz w:val="28"/>
          <w:szCs w:val="28"/>
          <w:lang w:val="en-GB"/>
        </w:rPr>
        <w:t>:</w:t>
      </w:r>
      <w:r w:rsidRPr="00D2131C">
        <w:rPr>
          <w:rFonts w:ascii="Source Sans Pro" w:hAnsi="Source Sans Pro"/>
          <w:sz w:val="28"/>
          <w:szCs w:val="28"/>
          <w:lang w:val="en-GB"/>
        </w:rPr>
        <w:t xml:space="preserve"> </w:t>
      </w:r>
      <w:hyperlink r:id="rId16" w:history="1">
        <w:r w:rsidRPr="00D2131C">
          <w:rPr>
            <w:rStyle w:val="Hyperlink"/>
            <w:rFonts w:ascii="Source Sans Pro" w:hAnsi="Source Sans Pro"/>
            <w:sz w:val="28"/>
            <w:szCs w:val="28"/>
            <w:lang w:val="en-GB"/>
          </w:rPr>
          <w:t>World must act on unacceptable failures to protect persons with disabilities from disasters</w:t>
        </w:r>
      </w:hyperlink>
    </w:p>
    <w:p w14:paraId="7D2D8425" w14:textId="1717DC0B" w:rsidR="009075AC" w:rsidRPr="00A23093" w:rsidRDefault="00C126DC" w:rsidP="009075AC">
      <w:pPr>
        <w:rPr>
          <w:rFonts w:ascii="Source Sans Pro" w:hAnsi="Source Sans Pro"/>
          <w:sz w:val="28"/>
          <w:szCs w:val="28"/>
        </w:rPr>
      </w:pPr>
      <w:r>
        <w:rPr>
          <w:rFonts w:ascii="Source Sans Pro" w:hAnsi="Source Sans Pro"/>
          <w:sz w:val="28"/>
          <w:szCs w:val="28"/>
        </w:rPr>
        <w:br/>
      </w:r>
      <w:r w:rsidR="000C77F3">
        <w:rPr>
          <w:rFonts w:ascii="Source Sans Pro" w:hAnsi="Source Sans Pro"/>
          <w:sz w:val="28"/>
          <w:szCs w:val="28"/>
        </w:rPr>
        <w:br/>
      </w:r>
      <w:r w:rsidR="000C77F3">
        <w:rPr>
          <w:rFonts w:ascii="Source Sans Pro" w:hAnsi="Source Sans Pro"/>
          <w:sz w:val="28"/>
          <w:szCs w:val="28"/>
        </w:rPr>
        <w:br/>
      </w:r>
      <w:r w:rsidR="000C77F3">
        <w:rPr>
          <w:rFonts w:ascii="Source Sans Pro" w:hAnsi="Source Sans Pro"/>
          <w:sz w:val="28"/>
          <w:szCs w:val="28"/>
        </w:rPr>
        <w:br/>
      </w:r>
    </w:p>
    <w:p w14:paraId="3E5661E5" w14:textId="77777777" w:rsidR="00A23093" w:rsidRPr="00A23093" w:rsidRDefault="00A23093">
      <w:pPr>
        <w:rPr>
          <w:rFonts w:ascii="Source Sans Pro" w:hAnsi="Source Sans Pro"/>
          <w:sz w:val="28"/>
          <w:szCs w:val="28"/>
        </w:rPr>
      </w:pPr>
    </w:p>
    <w:sectPr w:rsidR="00A23093" w:rsidRPr="00A23093" w:rsidSect="00A64024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1312A" w14:textId="77777777" w:rsidR="00560CBA" w:rsidRDefault="00560CBA" w:rsidP="00A64024">
      <w:pPr>
        <w:spacing w:after="0" w:line="240" w:lineRule="auto"/>
      </w:pPr>
      <w:r>
        <w:separator/>
      </w:r>
    </w:p>
  </w:endnote>
  <w:endnote w:type="continuationSeparator" w:id="0">
    <w:p w14:paraId="52C4568B" w14:textId="77777777" w:rsidR="00560CBA" w:rsidRDefault="00560CBA" w:rsidP="00A64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6B15F" w14:textId="44B57A8F" w:rsidR="00A64024" w:rsidRPr="00C6493B" w:rsidRDefault="00A64024" w:rsidP="00A64024">
    <w:pPr>
      <w:pStyle w:val="Footer"/>
      <w:jc w:val="center"/>
      <w:rPr>
        <w:sz w:val="24"/>
        <w:szCs w:val="24"/>
      </w:rPr>
    </w:pPr>
    <w:r w:rsidRPr="00C6493B">
      <w:rPr>
        <w:rFonts w:ascii="Source Sans Pro" w:hAnsi="Source Sans Pro"/>
        <w:sz w:val="24"/>
        <w:szCs w:val="24"/>
      </w:rPr>
      <w:t xml:space="preserve">Website: </w:t>
    </w:r>
    <w:hyperlink r:id="rId1" w:history="1">
      <w:r w:rsidRPr="00C6493B">
        <w:rPr>
          <w:rStyle w:val="Hyperlink"/>
          <w:rFonts w:ascii="Source Sans Pro" w:hAnsi="Source Sans Pro"/>
          <w:bCs/>
          <w:sz w:val="24"/>
          <w:szCs w:val="24"/>
        </w:rPr>
        <w:t>www.Deborah-Lawson.co.uk</w:t>
      </w:r>
    </w:hyperlink>
  </w:p>
  <w:p w14:paraId="6D6442D4" w14:textId="77777777" w:rsidR="00A64024" w:rsidRDefault="00A64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E7FB2" w14:textId="77777777" w:rsidR="00560CBA" w:rsidRDefault="00560CBA" w:rsidP="00A64024">
      <w:pPr>
        <w:spacing w:after="0" w:line="240" w:lineRule="auto"/>
      </w:pPr>
      <w:r>
        <w:separator/>
      </w:r>
    </w:p>
  </w:footnote>
  <w:footnote w:type="continuationSeparator" w:id="0">
    <w:p w14:paraId="427423F6" w14:textId="77777777" w:rsidR="00560CBA" w:rsidRDefault="00560CBA" w:rsidP="00A64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93"/>
    <w:rsid w:val="00075763"/>
    <w:rsid w:val="000C77F3"/>
    <w:rsid w:val="003A349A"/>
    <w:rsid w:val="00455A4F"/>
    <w:rsid w:val="00492CD5"/>
    <w:rsid w:val="004930AA"/>
    <w:rsid w:val="00560CBA"/>
    <w:rsid w:val="006877B2"/>
    <w:rsid w:val="006A06A0"/>
    <w:rsid w:val="006B7D54"/>
    <w:rsid w:val="00821E40"/>
    <w:rsid w:val="009075AC"/>
    <w:rsid w:val="00A112EE"/>
    <w:rsid w:val="00A23093"/>
    <w:rsid w:val="00A64024"/>
    <w:rsid w:val="00C126DC"/>
    <w:rsid w:val="00C27EFC"/>
    <w:rsid w:val="00C6493B"/>
    <w:rsid w:val="00D2131C"/>
    <w:rsid w:val="00D8265B"/>
    <w:rsid w:val="00F7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D393C"/>
  <w15:chartTrackingRefBased/>
  <w15:docId w15:val="{8C734615-3CDD-4361-86AD-24C932EE7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093"/>
    <w:pPr>
      <w:spacing w:after="80" w:line="276" w:lineRule="auto"/>
    </w:pPr>
    <w:rPr>
      <w:rFonts w:ascii="Aptos" w:eastAsiaTheme="minorEastAsia" w:hAnsi="Aptos"/>
      <w:color w:val="242B36"/>
      <w:kern w:val="0"/>
      <w:sz w:val="23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093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093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093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0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0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30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0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0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0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0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0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0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0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09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0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0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0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0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0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77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7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131C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40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024"/>
    <w:rPr>
      <w:rFonts w:ascii="Aptos" w:eastAsiaTheme="minorEastAsia" w:hAnsi="Aptos"/>
      <w:color w:val="242B36"/>
      <w:kern w:val="0"/>
      <w:sz w:val="23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40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024"/>
    <w:rPr>
      <w:rFonts w:ascii="Aptos" w:eastAsiaTheme="minorEastAsia" w:hAnsi="Aptos"/>
      <w:color w:val="242B36"/>
      <w:kern w:val="0"/>
      <w:sz w:val="23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7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onslibrary.parliament.uk/research-briefings/sn07096/" TargetMode="External"/><Relationship Id="rId13" Type="http://schemas.openxmlformats.org/officeDocument/2006/relationships/hyperlink" Target="https://www.scope.org.uk/campaigns/work-without-barriers/employment-blueprint/work-without-barriers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habinteg.org.uk/policy-blog/building-new-accessible-homes-is-a-clear-winner-over-home-adaptations-2895" TargetMode="External"/><Relationship Id="rId12" Type="http://schemas.openxmlformats.org/officeDocument/2006/relationships/hyperlink" Target="https://www.scope.org.uk/campaigns/disability-price-tag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www.undrr.org/news/world-must-act-unacceptable-failures-protect-persons-disabilities-disaster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uk/government/statistics/family-resources-survey-financial-year-2024-to-2025/family-resources-survey-financial-year-2024-to-2025" TargetMode="External"/><Relationship Id="rId11" Type="http://schemas.openxmlformats.org/officeDocument/2006/relationships/hyperlink" Target="https://www.kcl.ac.uk/news/fewer-people-with-a-learning-disability-dying-from-avoidable-causes-but-still-almost-twice-as-high-as-the-general-population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trussell.org.uk/news-and-research/publications/report/hunger-in-the-uk-2025" TargetMode="External"/><Relationship Id="rId10" Type="http://schemas.openxmlformats.org/officeDocument/2006/relationships/hyperlink" Target="https://www.jrf.org.uk/social-security/where-will-cuts-to-sickness-and-disability-benefits-fall-hardest?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committees.parliament.uk/publications/47200/documents/245887/default" TargetMode="External"/><Relationship Id="rId14" Type="http://schemas.openxmlformats.org/officeDocument/2006/relationships/hyperlink" Target="https://socialmetricscommission.org.uk/wp-content/uploads/2024/11/SMC-2024-Report-Web-Hi-Res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Debor\Downloads\www.Deborah-Lawso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Lawson</dc:creator>
  <cp:keywords/>
  <dc:description/>
  <cp:lastModifiedBy>Deborah Lawson</cp:lastModifiedBy>
  <cp:revision>2</cp:revision>
  <dcterms:created xsi:type="dcterms:W3CDTF">2026-11-02T19:15:00Z</dcterms:created>
  <dcterms:modified xsi:type="dcterms:W3CDTF">2026-11-02T19:15:00Z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88191981-fd6b-4478-9948-874aa72b123c</vt:lpwstr>
  </property>
</Properties>
</file>